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98" w:rsidRPr="009B2598" w:rsidRDefault="009B2598" w:rsidP="009B25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  <w:bookmarkStart w:id="0" w:name="_GoBack"/>
      <w:bookmarkEnd w:id="0"/>
    </w:p>
    <w:p w:rsidR="009B2598" w:rsidRDefault="009B2598" w:rsidP="009B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>Изучить н</w:t>
      </w:r>
      <w:r w:rsidRPr="009B2598">
        <w:rPr>
          <w:rFonts w:ascii="Times New Roman" w:hAnsi="Times New Roman" w:cs="Times New Roman"/>
          <w:sz w:val="28"/>
          <w:szCs w:val="28"/>
        </w:rPr>
        <w:t xml:space="preserve">ормативно-правовые документы, регулирующие порядок проведения и учет результатов инвентаризации активов и обязательств Основными документами, правоустанавливающими и регулирующими вопросы инвентаризации являются: </w:t>
      </w:r>
    </w:p>
    <w:p w:rsidR="009B2598" w:rsidRDefault="009B2598" w:rsidP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>1) Закон "О бухгалтерском учёте" от 06.12.2011 г. № 402-ФЗ (с изм.).</w:t>
      </w:r>
    </w:p>
    <w:p w:rsidR="009B2598" w:rsidRDefault="009B2598" w:rsidP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>2) Положение по ведению бухгалтерского учета и бухгалтерской отчетности в РФ приказ Минфина РФ от 20.07.1998 г. № 34н (с изм.)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98" w:rsidRDefault="009B2598" w:rsidP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 xml:space="preserve">3) ПБУ 1/2008 «Учетная политика организации», Приказ Минфина РФ от 06.11.2008 г. (с изм.). </w:t>
      </w:r>
    </w:p>
    <w:p w:rsidR="009B2598" w:rsidRDefault="009B2598" w:rsidP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98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598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2598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обязательств (приказ Министерства Финансов России № 49 от 13 июня 1995 г. (с изм.)). 10 Этим же документом регламентирована технология проведения инвентаризации. </w:t>
      </w:r>
    </w:p>
    <w:p w:rsidR="009B2598" w:rsidRDefault="009B2598" w:rsidP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 xml:space="preserve">5) Постановление Госкомстата от 18 августа 1998 г. № 88 «Об утверждении унифицированных форм первичной учетной </w:t>
      </w:r>
      <w:r w:rsidRPr="009B2598">
        <w:rPr>
          <w:rFonts w:ascii="Times New Roman" w:hAnsi="Times New Roman" w:cs="Times New Roman"/>
          <w:sz w:val="28"/>
          <w:szCs w:val="28"/>
        </w:rPr>
        <w:t>документации</w:t>
      </w:r>
      <w:r w:rsidRPr="009B2598">
        <w:rPr>
          <w:rFonts w:ascii="Times New Roman" w:hAnsi="Times New Roman" w:cs="Times New Roman"/>
          <w:sz w:val="28"/>
          <w:szCs w:val="28"/>
        </w:rPr>
        <w:t xml:space="preserve"> по учету кассовых операций, по учету результатов инвентаризации» (с изм.) </w:t>
      </w:r>
    </w:p>
    <w:p w:rsidR="009B2598" w:rsidRPr="009B2598" w:rsidRDefault="009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98">
        <w:rPr>
          <w:rFonts w:ascii="Times New Roman" w:hAnsi="Times New Roman" w:cs="Times New Roman"/>
          <w:sz w:val="28"/>
          <w:szCs w:val="28"/>
        </w:rPr>
        <w:t xml:space="preserve">6) Приказ Минфина России № 20н и МНС России № ГБ-3-04/39 от 10.03.1999 г. «Положение о порядке проведения инвентаризации имущества налогоплательщиков при налоговой проверке» </w:t>
      </w:r>
    </w:p>
    <w:sectPr w:rsidR="009B2598" w:rsidRPr="009B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98"/>
    <w:rsid w:val="009B2598"/>
    <w:rsid w:val="00A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CAC"/>
  <w15:chartTrackingRefBased/>
  <w15:docId w15:val="{F60BA586-C3A6-49AE-BB49-1076A22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2022-02-07T05:29:00Z</dcterms:created>
  <dcterms:modified xsi:type="dcterms:W3CDTF">2022-02-07T05:36:00Z</dcterms:modified>
</cp:coreProperties>
</file>